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F3" w:rsidRPr="00DC7FBD" w:rsidRDefault="005074F3" w:rsidP="005074F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Times New Roman" w:eastAsia="Times New Roman" w:hAnsi="Times New Roman" w:cs="Times New Roman"/>
          <w:b/>
          <w:bCs/>
          <w:color w:val="21242D"/>
          <w:sz w:val="24"/>
          <w:szCs w:val="24"/>
          <w:u w:val="single"/>
          <w:lang w:eastAsia="ru-RU"/>
        </w:rPr>
        <w:t>Перечень мер поддержки МСП</w:t>
      </w:r>
    </w:p>
    <w:p w:rsidR="005074F3" w:rsidRPr="00DC7FBD" w:rsidRDefault="005074F3" w:rsidP="005074F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Arial" w:eastAsia="Times New Roman" w:hAnsi="Arial" w:cs="Arial"/>
          <w:color w:val="21242D"/>
          <w:sz w:val="24"/>
          <w:szCs w:val="24"/>
          <w:lang w:eastAsia="ru-RU"/>
        </w:rPr>
        <w:t> </w:t>
      </w:r>
    </w:p>
    <w:tbl>
      <w:tblPr>
        <w:tblW w:w="15422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48"/>
        <w:gridCol w:w="5322"/>
        <w:gridCol w:w="1896"/>
        <w:gridCol w:w="2751"/>
        <w:gridCol w:w="2805"/>
      </w:tblGrid>
      <w:tr w:rsidR="005074F3" w:rsidRPr="00DC7FBD" w:rsidTr="00DF77A0">
        <w:tc>
          <w:tcPr>
            <w:tcW w:w="2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Меры поддержки</w:t>
            </w:r>
          </w:p>
          <w:p w:rsidR="005074F3" w:rsidRPr="00DC7FBD" w:rsidRDefault="005074F3" w:rsidP="00DF77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Комментарий и условия применения</w:t>
            </w:r>
          </w:p>
          <w:p w:rsidR="005074F3" w:rsidRPr="00DC7FBD" w:rsidRDefault="005074F3" w:rsidP="00DF77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Сроки действия меры</w:t>
            </w:r>
          </w:p>
        </w:tc>
        <w:tc>
          <w:tcPr>
            <w:tcW w:w="2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На кого распространяется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НПА/Документы</w:t>
            </w:r>
          </w:p>
        </w:tc>
      </w:tr>
      <w:tr w:rsidR="005074F3" w:rsidRPr="00DC7FBD" w:rsidTr="00DF77A0">
        <w:tc>
          <w:tcPr>
            <w:tcW w:w="26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Продление сроков уплаты налогов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продление срока уплаты налога на прибыль, УСН, ЕСХН за 2019 год;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- продление срока уплаты налогов (авансовых платежей по налогу), за исключением НДС и НДФЛ, за отчетные периоды, приходящиеся на 1 квартал 2020 года;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на 6 месяцев</w:t>
            </w:r>
          </w:p>
        </w:tc>
        <w:tc>
          <w:tcPr>
            <w:tcW w:w="27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для организаций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br/>
              <w:t>и ИП, включенных по состоянию на 01.03.2020 в реестр МСП, ведущих деятельность в наиболее пострадавших отраслях</w:t>
            </w:r>
          </w:p>
        </w:tc>
        <w:tc>
          <w:tcPr>
            <w:tcW w:w="28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«Перечень поручений по итогам обращения Президента в связи с распространением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 инфекции на территории страны» (утв. Президентом Российской Федерации 28.03.2020 № Пр-586)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Постановление Правительства Российской Федерации от 02.04.2020 № 409 «О мерах по обеспечению устойчивого развития экономики»</w:t>
            </w:r>
          </w:p>
          <w:p w:rsidR="005074F3" w:rsidRPr="00DC7FBD" w:rsidRDefault="005074F3" w:rsidP="00DF77A0">
            <w:pPr>
              <w:spacing w:after="144" w:line="240" w:lineRule="auto"/>
              <w:outlineLvl w:val="0"/>
              <w:rPr>
                <w:rFonts w:ascii="Arial" w:eastAsia="Times New Roman" w:hAnsi="Arial" w:cs="Arial"/>
                <w:b/>
                <w:bCs/>
                <w:color w:val="21242D"/>
                <w:kern w:val="36"/>
                <w:sz w:val="48"/>
                <w:szCs w:val="48"/>
                <w:lang w:eastAsia="ru-RU"/>
              </w:rPr>
            </w:pPr>
            <w:r w:rsidRPr="00DC7FBD">
              <w:rPr>
                <w:rFonts w:ascii="Arial" w:eastAsia="Times New Roman" w:hAnsi="Arial" w:cs="Arial"/>
                <w:b/>
                <w:bCs/>
                <w:color w:val="21242D"/>
                <w:kern w:val="36"/>
                <w:sz w:val="48"/>
                <w:szCs w:val="48"/>
                <w:lang w:eastAsia="ru-RU"/>
              </w:rPr>
              <w:t> </w:t>
            </w: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продление срока уплаты налогов (авансовых платежей по налогу), за исключением НДС и НДФЛ, за отчетные периоды, приходящиеся на полугодие (2 квартал) 2020 года.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на 4 месяца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42D"/>
                <w:kern w:val="36"/>
                <w:sz w:val="48"/>
                <w:szCs w:val="48"/>
                <w:lang w:eastAsia="ru-RU"/>
              </w:rPr>
            </w:pP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продление сроков уплаты авансовых платежей по транспортному налогу, налогу на имущество организаций и земельному налогу (в регионах, в которых установлены авансовые платежи) за первый квартал 2020 года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до 30 октября 2020 года;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42D"/>
                <w:kern w:val="36"/>
                <w:sz w:val="48"/>
                <w:szCs w:val="48"/>
                <w:lang w:eastAsia="ru-RU"/>
              </w:rPr>
            </w:pP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продление сроков уплаты авансовых платежей по транспортному налогу, налогу на имущество организаций и земельному налогу (в регионах, в которых установлены авансовые платежи) за второй квартал 2020 года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до 30 декабря 2020 года.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42D"/>
                <w:kern w:val="36"/>
                <w:sz w:val="48"/>
                <w:szCs w:val="48"/>
                <w:lang w:eastAsia="ru-RU"/>
              </w:rPr>
            </w:pP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продление сроков уплаты НДФЛ за 2019 год в соответствии с п.6 ст.227 Кодекса (для ИП);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на 3 месяца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42D"/>
                <w:kern w:val="36"/>
                <w:sz w:val="48"/>
                <w:szCs w:val="48"/>
                <w:lang w:eastAsia="ru-RU"/>
              </w:rPr>
            </w:pP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продление срока уплаты страховых взносов за март-май 2020 года;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на 6 месяцев</w:t>
            </w:r>
          </w:p>
        </w:tc>
        <w:tc>
          <w:tcPr>
            <w:tcW w:w="27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микропредприятий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 ведущих деятельность в наиболее пострадавших отраслях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42D"/>
                <w:kern w:val="36"/>
                <w:sz w:val="48"/>
                <w:szCs w:val="48"/>
                <w:lang w:eastAsia="ru-RU"/>
              </w:rPr>
            </w:pP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продление срока уплаты страховых взносов за июнь и июль 2020 года и страховых взносов, исчисленных с суммы дохода ИП, превышающей 300 000 рублей, подлежащих уплате не позднее 1 июля 2020 года;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на 4 месяца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42D"/>
                <w:kern w:val="36"/>
                <w:sz w:val="48"/>
                <w:szCs w:val="48"/>
                <w:lang w:eastAsia="ru-RU"/>
              </w:rPr>
            </w:pP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- продление срока уплаты налога на прибыль, УСН, ЕСХН за 2019 год;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- продление срока уплаты налогов (авансовых платежей по налогу), за исключением НДС и НДФЛ, за отчетные периоды, приходящиеся на 1 квартал 2020 года и на полугодие (2 квартал) 2020 года;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на 3 месяца</w:t>
            </w:r>
          </w:p>
        </w:tc>
        <w:tc>
          <w:tcPr>
            <w:tcW w:w="27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для  организаций и ИП, не включенных по состоянию на 01.03.2020 в реестр МСП, ведущих деятельность в наиболее пострадавших отраслях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42D"/>
                <w:kern w:val="36"/>
                <w:sz w:val="48"/>
                <w:szCs w:val="48"/>
                <w:lang w:eastAsia="ru-RU"/>
              </w:rPr>
            </w:pP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продление сроков уплаты авансовых платежей по транспортному налогу, налогу на имущество организаций и земельному налогу (в регионах, в которых установлены авансовые платежи) за первый квартал 2020 года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до 30 июля 2020 года;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42D"/>
                <w:kern w:val="36"/>
                <w:sz w:val="48"/>
                <w:szCs w:val="48"/>
                <w:lang w:eastAsia="ru-RU"/>
              </w:rPr>
            </w:pP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продление сроков уплаты авансовых платежей по транспортному налогу, налогу на имущество организаций и земельному налогу (в регионах, в которых установлены авансовые платежи) за второй квартал 2020 года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до 30 октября 2020 года.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42D"/>
                <w:kern w:val="36"/>
                <w:sz w:val="48"/>
                <w:szCs w:val="48"/>
                <w:lang w:eastAsia="ru-RU"/>
              </w:rPr>
            </w:pP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продление сроков уплаты НДФЛ за 2019 год в соответствии с п.6 ст.227 Кодекса (для ИП).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на 3 месяца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42D"/>
                <w:kern w:val="36"/>
                <w:sz w:val="48"/>
                <w:szCs w:val="48"/>
                <w:lang w:eastAsia="ru-RU"/>
              </w:rPr>
            </w:pPr>
          </w:p>
        </w:tc>
      </w:tr>
      <w:tr w:rsidR="005074F3" w:rsidRPr="00DC7FBD" w:rsidTr="00DF77A0">
        <w:tc>
          <w:tcPr>
            <w:tcW w:w="26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Продление срока предоставления отчетности*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продление срока представления: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1) всех деклараций (расчетов по авансовым платежам), кроме НДС, бухгалтерской отчетности, срок сдачи которых приходится на март-май 2020 года;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2) представления организациями финансового рынка (ОФР) в налоговые органы финансовой информации (отчётности о клиентах – иностранных налоговых резидентах) за 2019 отчетный год и предыдущие отчетные годы;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3) заявлений о проведении налогового мониторинга за 2021 год.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На 3 месяца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Для всех организаций и ИП</w:t>
            </w:r>
          </w:p>
        </w:tc>
        <w:tc>
          <w:tcPr>
            <w:tcW w:w="28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Постановление Правительства Российской Федерации от 02.04.2020 № 409 «О мерах по обеспечению устойчивого развития экономики»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продление срока представления документов, пояснений по требованиям, полученным в срок с 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lastRenderedPageBreak/>
              <w:t>1 марта до 1 июня 2020 года;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lastRenderedPageBreak/>
              <w:t>на 20 рабочих дней</w:t>
            </w:r>
          </w:p>
        </w:tc>
        <w:tc>
          <w:tcPr>
            <w:tcW w:w="27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Для всех налогоплательщиков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продление срока представления документов, пояснений по требованиям по НДС, полученным в срок с 1 марта до 1 июня 2020 года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на 10 рабочих дней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</w:tr>
      <w:tr w:rsidR="005074F3" w:rsidRPr="00DC7FBD" w:rsidTr="00DF77A0">
        <w:tc>
          <w:tcPr>
            <w:tcW w:w="26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>Запрет на проверки, взыскания и санкции со стороны ФНС и других органов КНД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>Блокировка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приостановление: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1) вынесения решений о проведении выездных (повторных выездных) налоговых проверок, проверок полноты исчисления и уплаты налогов в связи с совершением сделок между взаимозависимыми лицами,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2) проведения уже назначенных выездных (повторных выездных) налоговых проверок,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3) проведения проверок соблюдения валютного законодательства, за исключением случаев, когда по уже начатым проверкам выявлены нарушения, срок давности привлечения к административной ответственности за которые истекает до 01.06.2020 (в таких случаях допускается проведение проверок и осуществление административного производства только в части таких нарушений);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4) сроков: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- для составления и вручения актов налоговых проверок, актов о нарушениях законодательства о налогах и сборах,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- для представления возражений на указанные акты,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- для рассмотрения налоговым органом таких актов и возражений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до 1 июня 2020 года</w:t>
            </w:r>
          </w:p>
        </w:tc>
        <w:tc>
          <w:tcPr>
            <w:tcW w:w="27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Для всех налогоплательщиков (налоговых агентов, плательщиков страховых взносов, плательщиков сборов)</w:t>
            </w:r>
          </w:p>
        </w:tc>
        <w:tc>
          <w:tcPr>
            <w:tcW w:w="28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Федеральный закон от 01.04.2020 N 98-ФЗ "О внесении изменений в отдельные законодательные акты Российской Федерации по вопросам предупреждения и ликвидации чрезвычайных ситуаций" (Статья 6)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Постановление Правительства Российской Федерации от 02.04.2020 № 409 «О мерах по обеспечению устойчивого развития экономики»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приостановление: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 - блокировки счетов в связи с непредставлением декларации (расчетов по страховым взносам), не направлением квитанции о приеме документов,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необеспечением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приема документов по ТКС;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 - запрета </w:t>
            </w:r>
            <w:proofErr w:type="gram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на открытие счетов в банках при наличии решения о приостановлении операций по счетам</w:t>
            </w:r>
            <w:proofErr w:type="gram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налогоплательщика-организации и переводов его электронных денежных средств, а также запрета на списание денежных средств с таких счетов для медицинских организаций, осуществляющих расходные операции в целях покупки медицинских изделий или лекарственных средств;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</w:tr>
      <w:tr w:rsidR="005074F3" w:rsidRPr="00DC7FBD" w:rsidTr="00DF77A0">
        <w:tc>
          <w:tcPr>
            <w:tcW w:w="26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Мораторий на налоговые санкции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Мораторий на применение налоговых санкций за непредставление документов, срок представления которых приходится на период с 1 марта 2020 года по 1 июня 2020 года.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по 1 июня 2020 года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Для всех налогоплательщиков</w:t>
            </w:r>
          </w:p>
        </w:tc>
        <w:tc>
          <w:tcPr>
            <w:tcW w:w="28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Постановление Правительства Российской Федерации от 02.04.2020 № 409 «О мерах по обеспечению устойчивого развития экономики»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Продление предельного срока направления требований об уплате налогов, принятия решения о взыскании налогов.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на 6 месяцев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Для всех налогоплательщиков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</w:tr>
      <w:tr w:rsidR="005074F3" w:rsidRPr="00DC7FBD" w:rsidTr="00DF77A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не будут начисляться пени на сумму недоимки по налогам и страховым взносам, срок уплаты которых наступил в 2020 году.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период с 1 марта 2020 года по 1 июня 2020 года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Для организаций и ИП, относящихся к пострадавшим отраслям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74F3" w:rsidRPr="00DC7FBD" w:rsidRDefault="005074F3" w:rsidP="00DF77A0">
            <w:pPr>
              <w:spacing w:after="0" w:line="240" w:lineRule="auto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</w:p>
        </w:tc>
      </w:tr>
      <w:tr w:rsidR="005074F3" w:rsidRPr="00DC7FBD" w:rsidTr="00DF77A0"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>Мораторий на возбуждение дел о банкротстве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Мораторий на возбуждение дел о банкротстве по заявлению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кредиторов в отношении следующих должников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6 месяцев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организации и индивидуальные предприниматели, относящихся к пострадавшим отраслям</w:t>
            </w:r>
            <w:proofErr w:type="gram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.</w:t>
            </w:r>
            <w:proofErr w:type="gram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о</w:t>
            </w:r>
            <w:proofErr w:type="gram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рганизации, включенные в перечень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системообразующих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и стратегических, а также федеральные органы исполнительной власти, обеспечивающие </w:t>
            </w: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реализацию единой государственной политики в отраслях экономики, в которых осуществляют деятельность эти организации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Постановление Правительства Российской Федерации 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от 3 апреля 2020 г. № 428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</w:tr>
      <w:tr w:rsidR="005074F3" w:rsidRPr="00DC7FBD" w:rsidTr="00DF77A0"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Снижение тарифов по страховым взносам</w:t>
            </w:r>
          </w:p>
          <w:p w:rsidR="005074F3" w:rsidRPr="00DC7FBD" w:rsidRDefault="005074F3" w:rsidP="00DF77A0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Для предпринимателей, выплачивающих заработную плату, будет снижен тариф по страховым взносам с 30% до 15%. Пониженный тариф будет распространяться не на всю заработную плату работников, а только на ту часть, которая превышает МРОТ.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С 1 апреля и до конца 2020 г.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субъекты малого и среднего предпринимательства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Федеральный закон от 01.04.2020 N 102-ФЗ "О внесении изменений в части первую и вторую Налогового кодекса Российской Федерации и отдельные законодательные акты Российской Федерации" (Статья 5)</w:t>
            </w:r>
          </w:p>
        </w:tc>
      </w:tr>
      <w:tr w:rsidR="005074F3" w:rsidRPr="00DC7FBD" w:rsidTr="00DF77A0"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>Мораторий на рост взносов ИП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Правительство Российской Федерации распорядилось остановить рост взносов ИП. Это значит, что с 2021 года взносы не вырастут. Ранее Минфин показал проект закона, согласно которому взносы ИП будут расти выше уровня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инфляци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Мишустин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сказал, что в сегодняшних условиях такое повышение неприемлемо.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"Законопроекты, которые сейчас обсуждаются, – по увеличению нагрузки на индивидуальных предпринимателей, увеличению им размера социальных взносов – мы считаем, что не нужно принимать их, потому что и так ситуация сложная. Подъём размера страховых взносов для ИП можно и отложить, как минимум на ближайшее время", — сказал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Мишустин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до конца 2020 г.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индивидуальные предприниматели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Принятие </w:t>
            </w:r>
            <w:proofErr w:type="gram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закона по подъёму</w:t>
            </w:r>
            <w:proofErr w:type="gram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размера страховых взносов отложено до конца 2020 года.</w:t>
            </w:r>
          </w:p>
        </w:tc>
      </w:tr>
      <w:tr w:rsidR="005074F3" w:rsidRPr="00DC7FBD" w:rsidTr="00DF77A0"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Беспроцентные </w:t>
            </w: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кредиты на выплату зарплат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Беспроцентный заём на неотложные нужды (в </w:t>
            </w: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первую очередь на выплату заработной платы сотрудникам).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>Условия для получения кредита: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- Заёмные средства будут предоставляться компаниям, которые действуют не менее 1 года, и владельцы которых хотя бы раз платили налоги;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– сохранение численности персонала на весь период кредитования или сокращение персонала не более чем на 10% в месяц;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Гарантия по кредиту обеспечивается поручительством ВЭБ (до 75%).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>Параметры кредита: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Кредит будет предоставляться на срок не более 6 месяцев.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Максимальная величина заёмных средств будет высчитываться по формуле: количество сотрудников (на основании трудовых договоров)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х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МРОТ </w:t>
            </w:r>
            <w:proofErr w:type="spellStart"/>
            <w:proofErr w:type="gram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х</w:t>
            </w:r>
            <w:proofErr w:type="spellEnd"/>
            <w:proofErr w:type="gram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на 6 мес.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Ставка для заёмщика – 0%.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На первом этапе в программе будут участвовать топ-10 крупнейших банков. В случае спроса на кредитный продукт, список кредитных организаций будет расширен.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бессрочно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индивидуальные </w:t>
            </w: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предприниматели, малый бизнес и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микропредприятия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, осуществляющие деятельность в одной или нескольких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отраслей российской экономики, в наибольшей степени пострадавших в результате распространения новой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коронавирусной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инфекции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Постановление </w:t>
            </w: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Правительства Российской Федерации от 02.04.2020 № 422</w:t>
            </w:r>
          </w:p>
        </w:tc>
      </w:tr>
      <w:tr w:rsidR="005074F3" w:rsidRPr="00DC7FBD" w:rsidTr="00DF77A0"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Расширена программа льготного кредитования малого и среднего бизнеса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В программе участвуют 99 банков, которые выдают предпринимателям кредиты по сниженной ставке до 8,5%.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Упрощены требования к заёмщику, из обязательных условий исключены пункты: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отсутствие задолженности по налогам, сборам;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отсутствие задолженности по заработной плате;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отсутствие просроченных на срок свыше 30 дней </w:t>
            </w: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платежей по кредитным договорам.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Отменены требования по максимальному суммарному объёму кредитных соглашений на рефинансирование в рамках программы (которое установлено в размере не более 20% от общей суммы кредитов).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Появилась возможность рефинансировать кредитные соглашения на оборотные цели (ранее это было доступно только для инвестиционных кредитов).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Получать кредиты по льготной ставке теперь смогут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микропредприятия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в сфере торговли, занимающиеся реализацией подакцизных товаров (для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микропредприятий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, заключивших кредитные соглашения на оборотные цели в 2020 году на срок не более 2 лет).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бессрочно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индивидуальные предприниматели, малый бизнес и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Постановление Правительства Российской Федерации от 31 марта 2020 года №372</w:t>
            </w:r>
          </w:p>
        </w:tc>
      </w:tr>
      <w:tr w:rsidR="005074F3" w:rsidRPr="00DC7FBD" w:rsidTr="00DF77A0"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Отсрочка по кредиту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Имеющиеся задолженности по кредитным капиталам можно реструктуризировать. Процедура проводится по инициативе заемщика. Требуется обратиться в банк с заявлением. При предоставлении заёмщику права отсрочки платежа процентная ставка по кредитному соглашению не должна увеличиваться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На 6 месяцев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Субъекты малого и среднего предпринимательства, осуществляющие деятельность в одной или нескольких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отраслей российской экономики, в наибольшей степени пострадавших в результате распространения новой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коронавирусной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инфекции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Постановление Правительства Российской Федерации от 2 апреля 2020 года № 410</w:t>
            </w: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br/>
              <w:t> 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Информационное письмо Банка России от 20.03.2020 N ИН-06-59/24 "О реструктуризации кредитов (займов) субъектам МСП"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</w:tr>
      <w:tr w:rsidR="005074F3" w:rsidRPr="00DC7FBD" w:rsidTr="00DF77A0"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proofErr w:type="spellStart"/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>Спецпрограмма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стимулирования</w:t>
            </w:r>
          </w:p>
          <w:p w:rsidR="005074F3" w:rsidRPr="00DC7FBD" w:rsidRDefault="005074F3" w:rsidP="00DF77A0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lastRenderedPageBreak/>
              <w:t xml:space="preserve">В отношении предпринимателей-заемщиков будет действовать специальная программа 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lastRenderedPageBreak/>
              <w:t>рефинансирования кредитных капиталов. Кредит по программе рефинансирования выдается с установлением процентной ставки ЦБ РФ в размере 4 % и с установлением конечной ставки по кредитам на уровне 8,5 %.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индивидуальные предприниматели, </w:t>
            </w: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малый бизнес и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5074F3" w:rsidRPr="00DC7FBD" w:rsidTr="00DF77A0"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Отсрочка по аренде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Отсрочка платежей за арендуемые государственные и муниципальные помещения. </w:t>
            </w: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Дополнительное соглашение к договору аренды об отсрочке платежей должно быть заключено в течение трех рабочих дней с момента обращения заявителя.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Отсрочка не распространяется в отношении аренды коммерческой недвижимости.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До конца 2020 г.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Арендаторы государственного и муниципального имущества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Распоряжение Правительства Российской Федерации от 19 марта 2020 года №670-р</w:t>
            </w:r>
          </w:p>
        </w:tc>
      </w:tr>
      <w:tr w:rsidR="005074F3" w:rsidRPr="00DC7FBD" w:rsidTr="00DF77A0"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>Кредитные каникулы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Для индивидуальных предпринимателей, которые столкнулись с резким падением доходов из-за эпидемии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коронавируса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C7FBD">
              <w:rPr>
                <w:rFonts w:ascii="finex" w:eastAsia="Times New Roman" w:hAnsi="finex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(ниже 30%)</w:t>
            </w: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 предусмотрены кредитные каникулы (или уменьшение размера платежа) по кредитному договору (договорам займа) на срок до 6 месяцев. Условия предоставления данной льготы должно рассматриваться в индивидуальном порядке при обращении заявителя в банк.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На 6 месяцев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ИП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Федеральный закон от 3 апреля 2020 г. № 106-ФЗ "О внесении изменений в Федеральный закон "О Центральном банке Российской Федерации (Банке России)" и отдельные законодательные акты Российской Федерации в части особенностей изменения условий кредитного договора, договора займа"</w:t>
            </w:r>
          </w:p>
        </w:tc>
      </w:tr>
      <w:tr w:rsidR="005074F3" w:rsidRPr="00DC7FBD" w:rsidTr="00DF77A0">
        <w:trPr>
          <w:trHeight w:val="962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Снижение требований к обеспечению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>госконтрактов</w:t>
            </w:r>
            <w:proofErr w:type="spellEnd"/>
          </w:p>
          <w:p w:rsidR="005074F3" w:rsidRPr="00DC7FBD" w:rsidRDefault="005074F3" w:rsidP="00DF77A0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Правительством России предлагается установить, что при осуществлении закупок в соответствии со статьей 30 Федерального закона заказчик вправе не устанавливать требование обеспечения исполнения контракта в извещении об осуществлении закупки и (или) в проекте 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lastRenderedPageBreak/>
              <w:t>контракта.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Кроме того, также предложено увеличить начальную (максимальную) цену контракта до 5 млн. рублей (в настоящее время 1 млн. рублей), при котором субъекты малого предпринимательства должны предоставлять обеспечение заявок участников закупок.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lastRenderedPageBreak/>
              <w:t>до 31 декабря 2020 года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индивидуальные предприниматели, малый бизнес и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Проект Федерального закона, внесение в Государственную думу – 15 апреля 2020 г., принятие 15 июня 2020 г.</w:t>
            </w:r>
          </w:p>
        </w:tc>
      </w:tr>
      <w:tr w:rsidR="005074F3" w:rsidRPr="00DC7FBD" w:rsidTr="00DF77A0">
        <w:trPr>
          <w:trHeight w:val="962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Субсидия регионам на оказание неотложных мер по поддержке субъектов малого и среднего предпринимательства в условиях ухудшения ситуации в связи с распространением новой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>коронавирусной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инфекции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докапитализация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 региональных гарантийных организаций, созданных ранее в рамках Программы, в целях расширения возможностей субъектов МСП по получению льготных кредитов в случае отсутствия залогового обеспечения;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докапитализация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 государственных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микрофинансовых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 организаций, созданных ранее в рамках Программы (МФО), в целях охвата льготными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микрозаймами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 субъектов МСП.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br/>
              <w:t xml:space="preserve">В рамках деятельности государственных МФО предусмотрено предоставление льготных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микрозаймов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 субъектам МСП, осуществляющим проекты в неприоритетных отраслях, даже при осуществлении ими деятельности по производству и (или) реализации подакцизных товаров, в том числе в сфере общественного питания.</w:t>
            </w:r>
          </w:p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proofErr w:type="gram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Снижен размер процентной ставки по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микрозаймам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 для такой категории заемщика и составляет не более размера ключевой ставки Банка России,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микрозайм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 предоставляется на срок до 2 лет, кроме того, упрощены требования к заемщику (исключено ограничение в части задолженности перед бюджетами бюджетной системы Российской Федерации), кроме того, у 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lastRenderedPageBreak/>
              <w:t>них не проверяется отсутствие просроченной задолженности по возврату в бюджет РФ субсидий, бюджетных инвестиций</w:t>
            </w:r>
            <w:proofErr w:type="gramEnd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 предоставленных в том числе в соответствии с иными правовыми актами Российской Федерации, и иной просроченной задолженности перед бюджетами бюджетной системы Российской Федерации</w:t>
            </w:r>
            <w:proofErr w:type="gram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lastRenderedPageBreak/>
              <w:t>До конца 2020 г.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Субъекты малого и среднего предпринимательства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Постановление Правительства Российской Федерации от 31 марта 2020 года №378</w:t>
            </w:r>
            <w:proofErr w:type="gramStart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О</w:t>
            </w:r>
            <w:proofErr w:type="gramEnd"/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 xml:space="preserve"> внесении изменений в государственную программу Российской Федерации "Экономическое развитие и инновационная экономика"</w:t>
            </w:r>
          </w:p>
        </w:tc>
      </w:tr>
      <w:tr w:rsidR="005074F3" w:rsidRPr="00DC7FBD" w:rsidTr="00DF77A0">
        <w:trPr>
          <w:trHeight w:val="962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  <w:lang w:eastAsia="ru-RU"/>
              </w:rPr>
              <w:lastRenderedPageBreak/>
              <w:t>Консультации по теме форс-мажора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ТПП России открыла «горячую линию» для консультирования субъектов предпринимательской деятельности по вопросам форс-мажорных обстоятельств, возникших при исполнении договоров (контрактов) в связи с распространением новой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 xml:space="preserve"> инфекции COVID-2019.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 </w:t>
            </w:r>
            <w:r w:rsidRPr="00DC7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 марта д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о конца 2020 г.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всем, кто столкнулся со срывом контрактов (как внешнеторговых, так и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внутрироссийских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F3" w:rsidRPr="00DC7FBD" w:rsidRDefault="005074F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Куда обращаться: на специально созданную </w:t>
            </w:r>
            <w:hyperlink r:id="rId4" w:tgtFrame="_blank" w:tooltip="Ссылка на ресурс http://www.tpprf.ru/ru/news/otkrytie-goryachey-linii-dlya-predprinimateley-i350961/" w:history="1">
              <w:r w:rsidRPr="00DC7FB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горячую линию</w:t>
              </w:r>
            </w:hyperlink>
            <w:r w:rsidRPr="00DC7FB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 ТПП РФ.</w:t>
            </w:r>
          </w:p>
        </w:tc>
      </w:tr>
    </w:tbl>
    <w:p w:rsidR="00FA2ACA" w:rsidRDefault="00FA2ACA" w:rsidP="00FA2A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42D"/>
          <w:sz w:val="24"/>
          <w:szCs w:val="24"/>
          <w:u w:val="single"/>
          <w:lang w:eastAsia="ru-RU"/>
        </w:rPr>
      </w:pPr>
    </w:p>
    <w:p w:rsidR="00FA2ACA" w:rsidRDefault="00FA2ACA" w:rsidP="00FA2A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42D"/>
          <w:sz w:val="24"/>
          <w:szCs w:val="24"/>
          <w:u w:val="single"/>
          <w:lang w:eastAsia="ru-RU"/>
        </w:rPr>
      </w:pPr>
    </w:p>
    <w:p w:rsidR="00FA2ACA" w:rsidRPr="00DC7FBD" w:rsidRDefault="00FA2ACA" w:rsidP="00FA2AC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Times New Roman" w:eastAsia="Times New Roman" w:hAnsi="Times New Roman" w:cs="Times New Roman"/>
          <w:b/>
          <w:bCs/>
          <w:color w:val="21242D"/>
          <w:sz w:val="24"/>
          <w:szCs w:val="24"/>
          <w:u w:val="single"/>
          <w:lang w:eastAsia="ru-RU"/>
        </w:rPr>
        <w:t>Правительственный перечень пострадавших отраслей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Arial" w:eastAsia="Times New Roman" w:hAnsi="Arial" w:cs="Arial"/>
          <w:color w:val="21242D"/>
          <w:sz w:val="24"/>
          <w:szCs w:val="24"/>
          <w:lang w:eastAsia="ru-RU"/>
        </w:rPr>
        <w:t> </w:t>
      </w:r>
    </w:p>
    <w:tbl>
      <w:tblPr>
        <w:tblW w:w="14175" w:type="dxa"/>
        <w:tblInd w:w="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88"/>
        <w:gridCol w:w="6987"/>
      </w:tblGrid>
      <w:tr w:rsidR="00FA2ACA" w:rsidRPr="00DC7FBD" w:rsidTr="00B00427">
        <w:tc>
          <w:tcPr>
            <w:tcW w:w="7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Сфера деятельности</w:t>
            </w:r>
          </w:p>
        </w:tc>
        <w:tc>
          <w:tcPr>
            <w:tcW w:w="27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bookmarkStart w:id="0" w:name="dst100278"/>
            <w:bookmarkEnd w:id="0"/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Код по </w:t>
            </w:r>
            <w:hyperlink r:id="rId5" w:anchor="dst0" w:history="1">
              <w:r w:rsidRPr="00DC7FBD">
                <w:rPr>
                  <w:rFonts w:ascii="Times New Roman" w:eastAsia="Times New Roman" w:hAnsi="Times New Roman" w:cs="Times New Roman"/>
                  <w:b/>
                  <w:bCs/>
                  <w:color w:val="666699"/>
                  <w:sz w:val="24"/>
                  <w:szCs w:val="24"/>
                  <w:u w:val="single"/>
                  <w:lang w:eastAsia="ru-RU"/>
                </w:rPr>
                <w:t>ОКВЭД</w:t>
              </w:r>
            </w:hyperlink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 (основная деятельность по ЕГРЮЛ, ЕГРИП)</w:t>
            </w:r>
          </w:p>
        </w:tc>
      </w:tr>
      <w:tr w:rsidR="00FA2ACA" w:rsidRPr="00DC7FBD" w:rsidTr="00B00427">
        <w:tc>
          <w:tcPr>
            <w:tcW w:w="70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bookmarkStart w:id="1" w:name="dst100279"/>
            <w:bookmarkEnd w:id="1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Авиаперевозки, аэропортовая деятельность, автоперевозки</w:t>
            </w:r>
          </w:p>
        </w:tc>
        <w:bookmarkStart w:id="2" w:name="dst100280"/>
        <w:bookmarkEnd w:id="2"/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begin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instrText xml:space="preserve"> HYPERLINK "http://www.consultant.ru/document/cons_doc_LAW_340775/dcf079ccebe175686975bbc894e728f2b79f4b36/" \l "dst103941" </w:instrTex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separate"/>
            </w:r>
            <w:r w:rsidRPr="00DC7FBD">
              <w:rPr>
                <w:rFonts w:ascii="Times New Roman" w:eastAsia="Times New Roman" w:hAnsi="Times New Roman" w:cs="Times New Roman"/>
                <w:color w:val="666699"/>
                <w:sz w:val="24"/>
                <w:szCs w:val="24"/>
                <w:u w:val="single"/>
                <w:lang w:eastAsia="ru-RU"/>
              </w:rPr>
              <w:t>49.3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end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6" w:anchor="dst103991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49.4</w:t>
              </w:r>
            </w:hyperlink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7" w:anchor="dst104113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51.1</w:t>
              </w:r>
            </w:hyperlink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8" w:anchor="dst104125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51.21</w:t>
              </w:r>
            </w:hyperlink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9" w:anchor="dst104238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52.23.1</w:t>
              </w:r>
            </w:hyperlink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10" w:anchor="dst104240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52.23.11</w:t>
              </w:r>
            </w:hyperlink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11" w:anchor="dst104242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52.23.12</w:t>
              </w:r>
            </w:hyperlink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12" w:anchor="dst104244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52.23.13</w:t>
              </w:r>
            </w:hyperlink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13" w:anchor="dst104246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52.23.19</w:t>
              </w:r>
            </w:hyperlink>
          </w:p>
        </w:tc>
      </w:tr>
      <w:tr w:rsidR="00FA2ACA" w:rsidRPr="00DC7FBD" w:rsidTr="00B00427">
        <w:tc>
          <w:tcPr>
            <w:tcW w:w="70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bookmarkStart w:id="3" w:name="dst100281"/>
            <w:bookmarkEnd w:id="3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Культура, организация досуга и развлечений</w:t>
            </w:r>
          </w:p>
        </w:tc>
        <w:bookmarkStart w:id="4" w:name="dst100282"/>
        <w:bookmarkEnd w:id="4"/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begin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instrText xml:space="preserve"> HYPERLINK "http://www.consultant.ru/document/cons_doc_LAW_340775/043cf29cea35641bb98fd3760ebe6adb83cea692/" \l "dst105445" </w:instrTex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separate"/>
            </w:r>
            <w:r w:rsidRPr="00DC7FBD">
              <w:rPr>
                <w:rFonts w:ascii="Times New Roman" w:eastAsia="Times New Roman" w:hAnsi="Times New Roman" w:cs="Times New Roman"/>
                <w:color w:val="666699"/>
                <w:sz w:val="24"/>
                <w:szCs w:val="24"/>
                <w:u w:val="single"/>
                <w:lang w:eastAsia="ru-RU"/>
              </w:rPr>
              <w:t>90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A2ACA" w:rsidRPr="00DC7FBD" w:rsidTr="00B00427">
        <w:tc>
          <w:tcPr>
            <w:tcW w:w="70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bookmarkStart w:id="5" w:name="dst100283"/>
            <w:bookmarkEnd w:id="5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Физкультурно-оздоровительная деятельность и спорт</w:t>
            </w:r>
          </w:p>
        </w:tc>
        <w:bookmarkStart w:id="6" w:name="dst100284"/>
        <w:bookmarkEnd w:id="6"/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begin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instrText xml:space="preserve"> HYPERLINK "http://www.consultant.ru/document/cons_doc_LAW_340775/c95bc15ad12ca2426a690bed4ff0b8686fbe62e4/" \l "dst105507" </w:instrTex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separate"/>
            </w:r>
            <w:r w:rsidRPr="00DC7FBD">
              <w:rPr>
                <w:rFonts w:ascii="Times New Roman" w:eastAsia="Times New Roman" w:hAnsi="Times New Roman" w:cs="Times New Roman"/>
                <w:color w:val="666699"/>
                <w:sz w:val="24"/>
                <w:szCs w:val="24"/>
                <w:u w:val="single"/>
                <w:lang w:eastAsia="ru-RU"/>
              </w:rPr>
              <w:t>93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end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14" w:anchor="dst105871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96.04</w:t>
              </w:r>
            </w:hyperlink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15" w:anchor="dst105405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86.90.4</w:t>
              </w:r>
            </w:hyperlink>
          </w:p>
        </w:tc>
      </w:tr>
      <w:tr w:rsidR="00FA2ACA" w:rsidRPr="00DC7FBD" w:rsidTr="00B00427">
        <w:tc>
          <w:tcPr>
            <w:tcW w:w="70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bookmarkStart w:id="7" w:name="dst100285"/>
            <w:bookmarkEnd w:id="7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  <w:bookmarkStart w:id="8" w:name="dst100286"/>
        <w:bookmarkEnd w:id="8"/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begin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instrText xml:space="preserve"> HYPERLINK "http://www.consultant.ru/document/cons_doc_LAW_340775/68708653869e2f148e450982ed712c89dac190ae/" \l "dst105119" </w:instrTex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separate"/>
            </w:r>
            <w:r w:rsidRPr="00DC7FBD">
              <w:rPr>
                <w:rFonts w:ascii="Times New Roman" w:eastAsia="Times New Roman" w:hAnsi="Times New Roman" w:cs="Times New Roman"/>
                <w:color w:val="666699"/>
                <w:sz w:val="24"/>
                <w:szCs w:val="24"/>
                <w:u w:val="single"/>
                <w:lang w:eastAsia="ru-RU"/>
              </w:rPr>
              <w:t>79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A2ACA" w:rsidRPr="00DC7FBD" w:rsidTr="00B00427">
        <w:tc>
          <w:tcPr>
            <w:tcW w:w="70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bookmarkStart w:id="9" w:name="dst100287"/>
            <w:bookmarkEnd w:id="9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Гостиничный бизнес</w:t>
            </w:r>
          </w:p>
        </w:tc>
        <w:bookmarkStart w:id="10" w:name="dst100288"/>
        <w:bookmarkEnd w:id="10"/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begin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instrText xml:space="preserve"> HYPERLINK "http://www.consultant.ru/document/cons_doc_LAW_340775/ba649b2f8da8ee779ac6c0c284b00f1dd5cdfb33/" \l "dst104308" </w:instrTex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separate"/>
            </w:r>
            <w:r w:rsidRPr="00DC7FBD">
              <w:rPr>
                <w:rFonts w:ascii="Times New Roman" w:eastAsia="Times New Roman" w:hAnsi="Times New Roman" w:cs="Times New Roman"/>
                <w:color w:val="666699"/>
                <w:sz w:val="24"/>
                <w:szCs w:val="24"/>
                <w:u w:val="single"/>
                <w:lang w:eastAsia="ru-RU"/>
              </w:rPr>
              <w:t>55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A2ACA" w:rsidRPr="00DC7FBD" w:rsidTr="00B00427">
        <w:tc>
          <w:tcPr>
            <w:tcW w:w="70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bookmarkStart w:id="11" w:name="dst100289"/>
            <w:bookmarkEnd w:id="11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Общественное питание</w:t>
            </w:r>
          </w:p>
        </w:tc>
        <w:bookmarkStart w:id="12" w:name="dst100290"/>
        <w:bookmarkEnd w:id="12"/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begin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instrText xml:space="preserve"> HYPERLINK "http://www.consultant.ru/document/cons_doc_LAW_340775/aa7b9f946bdbfc7db2f24ea5dd7403df4623ad77/" \l "dst104327" </w:instrTex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separate"/>
            </w:r>
            <w:r w:rsidRPr="00DC7FBD">
              <w:rPr>
                <w:rFonts w:ascii="Times New Roman" w:eastAsia="Times New Roman" w:hAnsi="Times New Roman" w:cs="Times New Roman"/>
                <w:color w:val="666699"/>
                <w:sz w:val="24"/>
                <w:szCs w:val="24"/>
                <w:u w:val="single"/>
                <w:lang w:eastAsia="ru-RU"/>
              </w:rPr>
              <w:t>56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A2ACA" w:rsidRPr="00DC7FBD" w:rsidTr="00B00427">
        <w:tc>
          <w:tcPr>
            <w:tcW w:w="70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bookmarkStart w:id="13" w:name="dst100291"/>
            <w:bookmarkEnd w:id="13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Деятельность организаций дополнительного образования, негосударственных образовательных учреждений</w:t>
            </w:r>
          </w:p>
        </w:tc>
        <w:bookmarkStart w:id="14" w:name="dst100292"/>
        <w:bookmarkEnd w:id="14"/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begin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instrText xml:space="preserve"> HYPERLINK "http://www.consultant.ru/document/cons_doc_LAW_340775/814132fea32c1e05278aced91601509a5a89726e/" \l "dst105362" </w:instrTex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separate"/>
            </w:r>
            <w:r w:rsidRPr="00DC7FBD">
              <w:rPr>
                <w:rFonts w:ascii="Times New Roman" w:eastAsia="Times New Roman" w:hAnsi="Times New Roman" w:cs="Times New Roman"/>
                <w:color w:val="666699"/>
                <w:sz w:val="24"/>
                <w:szCs w:val="24"/>
                <w:u w:val="single"/>
                <w:lang w:eastAsia="ru-RU"/>
              </w:rPr>
              <w:t>85.41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end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16" w:anchor="dst105438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88.91</w:t>
              </w:r>
            </w:hyperlink>
          </w:p>
        </w:tc>
      </w:tr>
      <w:tr w:rsidR="00FA2ACA" w:rsidRPr="00DC7FBD" w:rsidTr="00B00427">
        <w:tc>
          <w:tcPr>
            <w:tcW w:w="70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bookmarkStart w:id="15" w:name="dst100293"/>
            <w:bookmarkEnd w:id="15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Деятельность по организации конференций и выставок</w:t>
            </w:r>
          </w:p>
        </w:tc>
        <w:bookmarkStart w:id="16" w:name="dst100294"/>
        <w:bookmarkEnd w:id="16"/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begin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instrText xml:space="preserve"> HYPERLINK "http://www.consultant.ru/document/cons_doc_LAW_340775/11a3bc280471b0b5cb33883a15342d67aae01273/" \l "dst105199" </w:instrTex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separate"/>
            </w:r>
            <w:r w:rsidRPr="00DC7FBD">
              <w:rPr>
                <w:rFonts w:ascii="Times New Roman" w:eastAsia="Times New Roman" w:hAnsi="Times New Roman" w:cs="Times New Roman"/>
                <w:color w:val="666699"/>
                <w:sz w:val="24"/>
                <w:szCs w:val="24"/>
                <w:u w:val="single"/>
                <w:lang w:eastAsia="ru-RU"/>
              </w:rPr>
              <w:t>82.3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A2ACA" w:rsidRPr="00DC7FBD" w:rsidTr="00B00427">
        <w:tc>
          <w:tcPr>
            <w:tcW w:w="70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bookmarkStart w:id="17" w:name="dst100295"/>
            <w:bookmarkEnd w:id="17"/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Деятельность по предоставлению бытовых услуг населению (ремонт, стирка, химчистка, услуги парикмахерских и салонов красоты)</w:t>
            </w:r>
          </w:p>
        </w:tc>
        <w:bookmarkStart w:id="18" w:name="dst100296"/>
        <w:bookmarkEnd w:id="18"/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begin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instrText xml:space="preserve"> HYPERLINK "http://www.consultant.ru/document/cons_doc_LAW_340775/8b83f1246ec05aebee4d63ea78db441ca08d663c/" \l "dst105556" </w:instrTex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separate"/>
            </w:r>
            <w:r w:rsidRPr="00DC7FBD">
              <w:rPr>
                <w:rFonts w:ascii="Times New Roman" w:eastAsia="Times New Roman" w:hAnsi="Times New Roman" w:cs="Times New Roman"/>
                <w:color w:val="666699"/>
                <w:sz w:val="24"/>
                <w:szCs w:val="24"/>
                <w:u w:val="single"/>
                <w:lang w:eastAsia="ru-RU"/>
              </w:rPr>
              <w:t>95</w:t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fldChar w:fldCharType="end"/>
            </w: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17" w:anchor="dst105864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96.01</w:t>
              </w:r>
            </w:hyperlink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, </w:t>
            </w:r>
            <w:hyperlink r:id="rId18" w:anchor="dst105600" w:history="1">
              <w:r w:rsidRPr="00DC7FBD">
                <w:rPr>
                  <w:rFonts w:ascii="Times New Roman" w:eastAsia="Times New Roman" w:hAnsi="Times New Roman" w:cs="Times New Roman"/>
                  <w:color w:val="666699"/>
                  <w:sz w:val="24"/>
                  <w:szCs w:val="24"/>
                  <w:u w:val="single"/>
                  <w:lang w:eastAsia="ru-RU"/>
                </w:rPr>
                <w:t>96.02</w:t>
              </w:r>
            </w:hyperlink>
          </w:p>
        </w:tc>
      </w:tr>
    </w:tbl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Arial" w:eastAsia="Times New Roman" w:hAnsi="Arial" w:cs="Arial"/>
          <w:color w:val="21242D"/>
          <w:sz w:val="24"/>
          <w:szCs w:val="24"/>
          <w:lang w:eastAsia="ru-RU"/>
        </w:rPr>
        <w:lastRenderedPageBreak/>
        <w:t> 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Организации и индивидуальные предприниматели, занятые в этих сферах по основному виду деятельности согласно ОКВЭД (</w:t>
      </w:r>
      <w:hyperlink r:id="rId19" w:history="1">
        <w:r w:rsidRPr="00DC7FB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https://service.nalog.ru/covid/index.html</w:t>
        </w:r>
      </w:hyperlink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), получат первоочередную адресную поддержку.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Arial" w:eastAsia="Times New Roman" w:hAnsi="Arial" w:cs="Arial"/>
          <w:color w:val="21242D"/>
          <w:sz w:val="24"/>
          <w:szCs w:val="24"/>
          <w:lang w:eastAsia="ru-RU"/>
        </w:rPr>
        <w:t> 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 xml:space="preserve">Перечень отраслей российской экономики, в наибольшей степени пострадавших в результате распространения новой </w:t>
      </w:r>
      <w:proofErr w:type="spellStart"/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коронавирусной</w:t>
      </w:r>
      <w:proofErr w:type="spellEnd"/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 xml:space="preserve"> инфекции утвержден Постановлением Правительства Российской Федерации от 3 апреля 2020 года №434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Arial" w:eastAsia="Times New Roman" w:hAnsi="Arial" w:cs="Arial"/>
          <w:color w:val="21242D"/>
          <w:sz w:val="24"/>
          <w:szCs w:val="24"/>
          <w:lang w:eastAsia="ru-RU"/>
        </w:rPr>
        <w:t> 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Arial" w:eastAsia="Times New Roman" w:hAnsi="Arial" w:cs="Arial"/>
          <w:color w:val="21242D"/>
          <w:sz w:val="24"/>
          <w:szCs w:val="24"/>
          <w:lang w:eastAsia="ru-RU"/>
        </w:rPr>
        <w:t> 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Times New Roman" w:eastAsia="Times New Roman" w:hAnsi="Times New Roman" w:cs="Times New Roman"/>
          <w:b/>
          <w:bCs/>
          <w:color w:val="21242D"/>
          <w:sz w:val="24"/>
          <w:szCs w:val="24"/>
          <w:u w:val="single"/>
          <w:lang w:eastAsia="ru-RU"/>
        </w:rPr>
        <w:t>Полезные ссылки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Arial" w:eastAsia="Times New Roman" w:hAnsi="Arial" w:cs="Arial"/>
          <w:color w:val="21242D"/>
          <w:sz w:val="24"/>
          <w:szCs w:val="24"/>
          <w:lang w:eastAsia="ru-RU"/>
        </w:rPr>
        <w:t> 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Цифровая платформа МСП </w:t>
      </w:r>
      <w:hyperlink r:id="rId20" w:history="1">
        <w:r w:rsidRPr="00DC7FB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https://msp.economy.gov.ru/</w:t>
        </w:r>
      </w:hyperlink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ФНС России  </w:t>
      </w:r>
      <w:hyperlink r:id="rId21" w:history="1">
        <w:r w:rsidRPr="00DC7FB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https://www.nalog.ru/rn50/business-support-2020/</w:t>
        </w:r>
      </w:hyperlink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Консультант </w:t>
      </w:r>
      <w:hyperlink r:id="rId22" w:tgtFrame="_blank" w:history="1">
        <w:r w:rsidRPr="00DC7FB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http://www.consultant.ru/document/cons_doc_LAW_348054/</w:t>
        </w:r>
      </w:hyperlink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proofErr w:type="spellStart"/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Мойбизнес</w:t>
      </w:r>
      <w:proofErr w:type="gramStart"/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,р</w:t>
      </w:r>
      <w:proofErr w:type="gramEnd"/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ф</w:t>
      </w:r>
      <w:proofErr w:type="spellEnd"/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 </w:t>
      </w:r>
      <w:hyperlink r:id="rId23" w:history="1">
        <w:r w:rsidRPr="00DC7FB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https://xn--90aifddrld7a.xn--p1ai/</w:t>
        </w:r>
        <w:proofErr w:type="spellStart"/>
        <w:r w:rsidRPr="00DC7FB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anticrisis</w:t>
        </w:r>
        <w:proofErr w:type="spellEnd"/>
      </w:hyperlink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Горячие линии субъектов РФ </w:t>
      </w:r>
      <w:hyperlink r:id="rId24" w:history="1">
        <w:r w:rsidRPr="00DC7FB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https://xn--90aifddrld7a.xn--p1ai/novosti/news/v-regionakh-zapustili-goryachie-linii-dlya-podderzhki-biznesa-vo-vremya-pandemii</w:t>
        </w:r>
      </w:hyperlink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Arial" w:eastAsia="Times New Roman" w:hAnsi="Arial" w:cs="Arial"/>
          <w:color w:val="21242D"/>
          <w:sz w:val="24"/>
          <w:szCs w:val="24"/>
          <w:lang w:eastAsia="ru-RU"/>
        </w:rPr>
        <w:t> 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Arial" w:eastAsia="Times New Roman" w:hAnsi="Arial" w:cs="Arial"/>
          <w:color w:val="21242D"/>
          <w:sz w:val="24"/>
          <w:szCs w:val="24"/>
          <w:lang w:eastAsia="ru-RU"/>
        </w:rPr>
        <w:t> 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Times New Roman" w:eastAsia="Times New Roman" w:hAnsi="Times New Roman" w:cs="Times New Roman"/>
          <w:b/>
          <w:bCs/>
          <w:color w:val="21242D"/>
          <w:sz w:val="28"/>
          <w:szCs w:val="28"/>
          <w:lang w:val="en-US" w:eastAsia="ru-RU"/>
        </w:rPr>
        <w:t>* </w:t>
      </w:r>
      <w:r w:rsidRPr="00DC7FBD">
        <w:rPr>
          <w:rFonts w:ascii="Times New Roman" w:eastAsia="Times New Roman" w:hAnsi="Times New Roman" w:cs="Times New Roman"/>
          <w:b/>
          <w:bCs/>
          <w:color w:val="21242D"/>
          <w:sz w:val="28"/>
          <w:szCs w:val="28"/>
          <w:lang w:eastAsia="ru-RU"/>
        </w:rPr>
        <w:t>Продление срока предоставления отчетности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Arial" w:eastAsia="Times New Roman" w:hAnsi="Arial" w:cs="Arial"/>
          <w:color w:val="21242D"/>
          <w:sz w:val="24"/>
          <w:szCs w:val="24"/>
          <w:lang w:eastAsia="ru-RU"/>
        </w:rPr>
        <w:t> </w:t>
      </w:r>
    </w:p>
    <w:tbl>
      <w:tblPr>
        <w:tblW w:w="151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62"/>
        <w:gridCol w:w="3685"/>
        <w:gridCol w:w="5386"/>
      </w:tblGrid>
      <w:tr w:rsidR="00FA2ACA" w:rsidRPr="00DC7FBD" w:rsidTr="00FA2ACA">
        <w:tc>
          <w:tcPr>
            <w:tcW w:w="6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Вид отчета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Старые сроки отчетности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Новые сроки по Постановлению Правительства Российской Федерации</w:t>
            </w: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br/>
              <w:t>от 02 апреля 2020 г.  №409</w:t>
            </w:r>
          </w:p>
        </w:tc>
      </w:tr>
      <w:tr w:rsidR="00FA2ACA" w:rsidRPr="00DC7FBD" w:rsidTr="00FA2ACA">
        <w:tc>
          <w:tcPr>
            <w:tcW w:w="1513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t>Годовые</w:t>
            </w:r>
          </w:p>
        </w:tc>
      </w:tr>
      <w:tr w:rsidR="00FA2ACA" w:rsidRPr="00DC7FBD" w:rsidTr="00FA2ACA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Бухгалтерский баланс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31 марта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6 мая (30 июня*)</w:t>
            </w:r>
          </w:p>
        </w:tc>
      </w:tr>
      <w:tr w:rsidR="00FA2ACA" w:rsidRPr="00DC7FBD" w:rsidTr="00FA2ACA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Декларация по налогу на прибыль за 2019 год</w:t>
            </w:r>
          </w:p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30 марта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30 июня</w:t>
            </w:r>
          </w:p>
        </w:tc>
      </w:tr>
      <w:tr w:rsidR="00FA2ACA" w:rsidRPr="00DC7FBD" w:rsidTr="00FA2ACA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Декларация по налогу на имущество за 2019 год</w:t>
            </w:r>
          </w:p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30 марта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30 июня</w:t>
            </w:r>
          </w:p>
        </w:tc>
      </w:tr>
      <w:tr w:rsidR="00FA2ACA" w:rsidRPr="00DC7FBD" w:rsidTr="00FA2ACA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Декларация по УСН для организаций за 2019 год</w:t>
            </w:r>
          </w:p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31 марта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30 июня</w:t>
            </w:r>
          </w:p>
        </w:tc>
      </w:tr>
      <w:tr w:rsidR="00FA2ACA" w:rsidRPr="00DC7FBD" w:rsidTr="00FA2ACA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Декларация по ЕСХН за 2019 год</w:t>
            </w:r>
          </w:p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31 марта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30 июня</w:t>
            </w:r>
          </w:p>
        </w:tc>
      </w:tr>
      <w:tr w:rsidR="00FA2ACA" w:rsidRPr="00DC7FBD" w:rsidTr="00FA2ACA">
        <w:tc>
          <w:tcPr>
            <w:tcW w:w="1513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b/>
                <w:bCs/>
                <w:color w:val="21242D"/>
                <w:sz w:val="24"/>
                <w:szCs w:val="24"/>
                <w:lang w:eastAsia="ru-RU"/>
              </w:rPr>
              <w:lastRenderedPageBreak/>
              <w:t>I квартал</w:t>
            </w:r>
          </w:p>
        </w:tc>
      </w:tr>
      <w:tr w:rsidR="00FA2ACA" w:rsidRPr="00DC7FBD" w:rsidTr="00FA2ACA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Декларация по ЕНВД за 1 квартал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20 апреля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20 июля</w:t>
            </w:r>
          </w:p>
        </w:tc>
      </w:tr>
      <w:tr w:rsidR="00FA2ACA" w:rsidRPr="00DC7FBD" w:rsidTr="00FA2ACA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Декларация по НДС за 1 квартал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27 апреля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15 мая</w:t>
            </w:r>
          </w:p>
        </w:tc>
      </w:tr>
      <w:tr w:rsidR="00FA2ACA" w:rsidRPr="00DC7FBD" w:rsidTr="00FA2ACA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4-ФСС за 1 квартал по 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электронке</w:t>
            </w:r>
            <w:proofErr w:type="spellEnd"/>
          </w:p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27 апреля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27 июля</w:t>
            </w:r>
          </w:p>
        </w:tc>
      </w:tr>
      <w:tr w:rsidR="00FA2ACA" w:rsidRPr="00DC7FBD" w:rsidTr="00FA2ACA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Декларация по налогу на прибыль за 1 квартал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28 апреля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28 июля</w:t>
            </w:r>
          </w:p>
        </w:tc>
      </w:tr>
      <w:tr w:rsidR="00FA2ACA" w:rsidRPr="00DC7FBD" w:rsidTr="00FA2ACA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6-НДФЛ за 1 квартал</w:t>
            </w:r>
          </w:p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30 апреля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30 июля</w:t>
            </w:r>
          </w:p>
        </w:tc>
      </w:tr>
      <w:tr w:rsidR="00FA2ACA" w:rsidRPr="00DC7FBD" w:rsidTr="00FA2ACA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Расчет по страховым взносам за 1 квартал</w:t>
            </w:r>
          </w:p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30 апреля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15 мая</w:t>
            </w:r>
          </w:p>
        </w:tc>
      </w:tr>
      <w:tr w:rsidR="00FA2ACA" w:rsidRPr="00DC7FBD" w:rsidTr="00FA2ACA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Декларация по УСН за 2019 год (ИП на «</w:t>
            </w:r>
            <w:proofErr w:type="spellStart"/>
            <w:r w:rsidRPr="00DC7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упрощенке</w:t>
            </w:r>
            <w:proofErr w:type="spellEnd"/>
            <w:r w:rsidRPr="00DC7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»)</w:t>
            </w:r>
          </w:p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30 апреля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2ACA" w:rsidRPr="00DC7FBD" w:rsidRDefault="00FA2ACA" w:rsidP="00B0042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DC7FBD">
              <w:rPr>
                <w:rFonts w:ascii="Times New Roman" w:eastAsia="Times New Roman" w:hAnsi="Times New Roman" w:cs="Times New Roman"/>
                <w:color w:val="21242D"/>
                <w:sz w:val="24"/>
                <w:szCs w:val="24"/>
                <w:lang w:eastAsia="ru-RU"/>
              </w:rPr>
              <w:t>30 июля</w:t>
            </w:r>
          </w:p>
        </w:tc>
      </w:tr>
    </w:tbl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Arial" w:eastAsia="Times New Roman" w:hAnsi="Arial" w:cs="Arial"/>
          <w:color w:val="21242D"/>
          <w:sz w:val="24"/>
          <w:szCs w:val="24"/>
          <w:lang w:eastAsia="ru-RU"/>
        </w:rPr>
        <w:t> </w:t>
      </w:r>
    </w:p>
    <w:p w:rsidR="00FA2ACA" w:rsidRPr="00DC7FBD" w:rsidRDefault="00FA2ACA" w:rsidP="00FA2A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42D"/>
          <w:sz w:val="24"/>
          <w:szCs w:val="24"/>
          <w:lang w:eastAsia="ru-RU"/>
        </w:rPr>
      </w:pPr>
      <w:r w:rsidRPr="00DC7FB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* 30 июня могут сдать только организации, годовая бухгалтерская (финансовая) отчетность которых содержит сведения, отнесенные к государственной тайне, и организации, попавшие под иностранные санкции (в случаях установленных правительственным постановлением от 22.01.2020 № 35).</w:t>
      </w:r>
    </w:p>
    <w:p w:rsidR="009857FB" w:rsidRDefault="009857FB"/>
    <w:sectPr w:rsidR="009857FB" w:rsidSect="005074F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inex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4F3"/>
    <w:rsid w:val="005074F3"/>
    <w:rsid w:val="009857FB"/>
    <w:rsid w:val="00FA2ACA"/>
    <w:rsid w:val="00FC3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0775/0750dc3084543c6d2999ec1e20c760cc05608d59/" TargetMode="External"/><Relationship Id="rId13" Type="http://schemas.openxmlformats.org/officeDocument/2006/relationships/hyperlink" Target="http://www.consultant.ru/document/cons_doc_LAW_340775/79f5c5c1372800cf4b1d38b89b091f75d8a0ed68/" TargetMode="External"/><Relationship Id="rId18" Type="http://schemas.openxmlformats.org/officeDocument/2006/relationships/hyperlink" Target="http://www.consultant.ru/document/cons_doc_LAW_340775/a05983ddc36d6d984f3a6deefb134b654ca4ee93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www.nalog.ru/rn50/business-support-2020/" TargetMode="External"/><Relationship Id="rId7" Type="http://schemas.openxmlformats.org/officeDocument/2006/relationships/hyperlink" Target="http://www.consultant.ru/document/cons_doc_LAW_340775/0750dc3084543c6d2999ec1e20c760cc05608d59/" TargetMode="External"/><Relationship Id="rId12" Type="http://schemas.openxmlformats.org/officeDocument/2006/relationships/hyperlink" Target="http://www.consultant.ru/document/cons_doc_LAW_340775/79f5c5c1372800cf4b1d38b89b091f75d8a0ed68/" TargetMode="External"/><Relationship Id="rId17" Type="http://schemas.openxmlformats.org/officeDocument/2006/relationships/hyperlink" Target="http://www.consultant.ru/document/cons_doc_LAW_340775/a05983ddc36d6d984f3a6deefb134b654ca4ee93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/document/cons_doc_LAW_340775/e13751afb78acf738207da032710e36b3338f742/" TargetMode="External"/><Relationship Id="rId20" Type="http://schemas.openxmlformats.org/officeDocument/2006/relationships/hyperlink" Target="https://msp.economy.gov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40775/dcf079ccebe175686975bbc894e728f2b79f4b36/" TargetMode="External"/><Relationship Id="rId11" Type="http://schemas.openxmlformats.org/officeDocument/2006/relationships/hyperlink" Target="http://www.consultant.ru/document/cons_doc_LAW_340775/79f5c5c1372800cf4b1d38b89b091f75d8a0ed68/" TargetMode="External"/><Relationship Id="rId24" Type="http://schemas.openxmlformats.org/officeDocument/2006/relationships/hyperlink" Target="https://xn--90aifddrld7a.xn--p1ai/novosti/news/v-regionakh-zapustili-goryachie-linii-dlya-podderzhki-biznesa-vo-vremya-pandemii" TargetMode="External"/><Relationship Id="rId5" Type="http://schemas.openxmlformats.org/officeDocument/2006/relationships/hyperlink" Target="http://www.consultant.ru/document/cons_doc_LAW_340775/" TargetMode="External"/><Relationship Id="rId15" Type="http://schemas.openxmlformats.org/officeDocument/2006/relationships/hyperlink" Target="http://www.consultant.ru/document/cons_doc_LAW_340775/2aed36731ce56f3fb9aee44e5ba684ad97d14458/" TargetMode="External"/><Relationship Id="rId23" Type="http://schemas.openxmlformats.org/officeDocument/2006/relationships/hyperlink" Target="https://xn--90aifddrld7a.xn--p1ai/anticrisis" TargetMode="External"/><Relationship Id="rId10" Type="http://schemas.openxmlformats.org/officeDocument/2006/relationships/hyperlink" Target="http://www.consultant.ru/document/cons_doc_LAW_340775/79f5c5c1372800cf4b1d38b89b091f75d8a0ed68/" TargetMode="External"/><Relationship Id="rId19" Type="http://schemas.openxmlformats.org/officeDocument/2006/relationships/hyperlink" Target="https://service.nalog.ru/covid/index.html" TargetMode="External"/><Relationship Id="rId4" Type="http://schemas.openxmlformats.org/officeDocument/2006/relationships/hyperlink" Target="http://www.tpprf.ru/ru/news/otkrytie-goryachey-linii-dlya-predprinimateley-i350961/" TargetMode="External"/><Relationship Id="rId9" Type="http://schemas.openxmlformats.org/officeDocument/2006/relationships/hyperlink" Target="http://www.consultant.ru/document/cons_doc_LAW_340775/79f5c5c1372800cf4b1d38b89b091f75d8a0ed68/" TargetMode="External"/><Relationship Id="rId14" Type="http://schemas.openxmlformats.org/officeDocument/2006/relationships/hyperlink" Target="http://www.consultant.ru/document/cons_doc_LAW_340775/a05983ddc36d6d984f3a6deefb134b654ca4ee93/" TargetMode="External"/><Relationship Id="rId22" Type="http://schemas.openxmlformats.org/officeDocument/2006/relationships/hyperlink" Target="http://www.consultant.ru/document/cons_doc_LAW_3480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3346</Words>
  <Characters>19074</Characters>
  <Application>Microsoft Office Word</Application>
  <DocSecurity>0</DocSecurity>
  <Lines>158</Lines>
  <Paragraphs>44</Paragraphs>
  <ScaleCrop>false</ScaleCrop>
  <Company>SPecialiST RePack</Company>
  <LinksUpToDate>false</LinksUpToDate>
  <CharactersWithSpaces>22376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2020-06-01T06:38:00Z</dcterms:created>
  <dcterms:modified xsi:type="dcterms:W3CDTF">2020-06-02T09:36:00Z</dcterms:modified>
</cp:coreProperties>
</file>